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B8913" w14:textId="2F6B6E5D" w:rsidR="0088129E" w:rsidRDefault="003C67A3" w:rsidP="0088129E">
      <w:r>
        <w:t xml:space="preserve">The following is a </w:t>
      </w:r>
      <w:r w:rsidR="0048258F">
        <w:t xml:space="preserve">high level </w:t>
      </w:r>
      <w:r w:rsidR="00663145">
        <w:t>summary of</w:t>
      </w:r>
      <w:r w:rsidR="0048258F">
        <w:t xml:space="preserve"> the content of</w:t>
      </w:r>
      <w:r w:rsidR="00663145">
        <w:t xml:space="preserve"> </w:t>
      </w:r>
      <w:hyperlink r:id="rId7" w:history="1">
        <w:r w:rsidR="0088129E" w:rsidRPr="00B67322">
          <w:rPr>
            <w:rStyle w:val="Hyperlink"/>
          </w:rPr>
          <w:t>The Medical Devices (A</w:t>
        </w:r>
        <w:r w:rsidR="0088129E" w:rsidRPr="00B67322">
          <w:rPr>
            <w:rStyle w:val="Hyperlink"/>
          </w:rPr>
          <w:t>m</w:t>
        </w:r>
        <w:r w:rsidR="0088129E" w:rsidRPr="00B67322">
          <w:rPr>
            <w:rStyle w:val="Hyperlink"/>
          </w:rPr>
          <w:t>endment etc.) (EU Exit) Regulations 2019</w:t>
        </w:r>
      </w:hyperlink>
      <w:r>
        <w:t xml:space="preserve">. </w:t>
      </w:r>
      <w:r w:rsidR="0048258F">
        <w:t>The</w:t>
      </w:r>
      <w:r>
        <w:t>se</w:t>
      </w:r>
      <w:r w:rsidR="0048258F">
        <w:t xml:space="preserve"> </w:t>
      </w:r>
      <w:r>
        <w:t xml:space="preserve">are the </w:t>
      </w:r>
      <w:r w:rsidR="0048258F">
        <w:t>UK’s domestic regulations on medical device</w:t>
      </w:r>
      <w:r w:rsidR="00A2692E">
        <w:t>s</w:t>
      </w:r>
      <w:r w:rsidR="0048258F">
        <w:t xml:space="preserve"> and in vitro diagnostics post-EU membership.  </w:t>
      </w:r>
    </w:p>
    <w:p w14:paraId="3C7E634D" w14:textId="784775B1" w:rsidR="003C67A3" w:rsidRDefault="003C67A3" w:rsidP="0088129E">
      <w:r>
        <w:t>The reader should keep in mind two points</w:t>
      </w:r>
      <w:r w:rsidR="005305A8">
        <w:t>:</w:t>
      </w:r>
      <w:r>
        <w:t xml:space="preserve"> </w:t>
      </w:r>
      <w:r w:rsidR="005305A8">
        <w:t xml:space="preserve">First, </w:t>
      </w:r>
      <w:r w:rsidR="000F34B0">
        <w:t xml:space="preserve">that </w:t>
      </w:r>
      <w:r w:rsidR="005305A8">
        <w:t>t</w:t>
      </w:r>
      <w:r>
        <w:t xml:space="preserve">hese regulations were initially </w:t>
      </w:r>
      <w:r w:rsidR="005305A8">
        <w:t xml:space="preserve">prepared for </w:t>
      </w:r>
      <w:r>
        <w:t>2018</w:t>
      </w:r>
      <w:r w:rsidR="000F34B0">
        <w:t xml:space="preserve"> in preparation for the “Exit day” in 2019. </w:t>
      </w:r>
      <w:r>
        <w:t xml:space="preserve">The 2018 Withdrawal act was subsequently amended by the final Brexit legislation, the </w:t>
      </w:r>
      <w:r w:rsidRPr="0088129E">
        <w:t xml:space="preserve">European Union (Withdrawal Agreement) Act </w:t>
      </w:r>
      <w:r>
        <w:t xml:space="preserve">of </w:t>
      </w:r>
      <w:r w:rsidRPr="0088129E">
        <w:t>2020</w:t>
      </w:r>
      <w:r w:rsidR="00A2692E">
        <w:t xml:space="preserve">, which </w:t>
      </w:r>
      <w:r>
        <w:t xml:space="preserve">changed </w:t>
      </w:r>
      <w:r w:rsidR="000F34B0">
        <w:t xml:space="preserve">“Exit day” </w:t>
      </w:r>
      <w:r>
        <w:t xml:space="preserve">to “Implementation period completion day”, 31 December 2020. </w:t>
      </w:r>
      <w:r w:rsidR="000F34B0">
        <w:t xml:space="preserve"> Second, considering again their origin in 2018, the </w:t>
      </w:r>
      <w:r w:rsidR="000F34B0">
        <w:t xml:space="preserve">first </w:t>
      </w:r>
      <w:r w:rsidR="000F34B0">
        <w:t xml:space="preserve">priority </w:t>
      </w:r>
      <w:r w:rsidR="00A2692E">
        <w:t xml:space="preserve">of these regulations </w:t>
      </w:r>
      <w:r w:rsidR="000F34B0">
        <w:t xml:space="preserve">was to establish the AIMDD, MDD and IVDD as UK </w:t>
      </w:r>
      <w:r w:rsidR="000F34B0">
        <w:t xml:space="preserve">domestic </w:t>
      </w:r>
      <w:r w:rsidR="000F34B0">
        <w:t xml:space="preserve">regulations for the intervening period until 2020/2022. </w:t>
      </w:r>
      <w:r w:rsidR="000F34B0">
        <w:t xml:space="preserve">This is the </w:t>
      </w:r>
      <w:r w:rsidR="00A2692E">
        <w:t>reason for</w:t>
      </w:r>
      <w:r w:rsidR="000F34B0">
        <w:t xml:space="preserve"> </w:t>
      </w:r>
      <w:r w:rsidR="000F34B0">
        <w:t xml:space="preserve">the multiple changes to the </w:t>
      </w:r>
      <w:r w:rsidR="00A2692E">
        <w:t xml:space="preserve">UK’s </w:t>
      </w:r>
      <w:r w:rsidR="000F34B0">
        <w:t xml:space="preserve">already exiting </w:t>
      </w:r>
      <w:r w:rsidR="00A2692E">
        <w:t>medical device and IVD</w:t>
      </w:r>
      <w:r w:rsidR="000F34B0">
        <w:t xml:space="preserve"> </w:t>
      </w:r>
      <w:r w:rsidR="000F34B0">
        <w:t xml:space="preserve">registration system. </w:t>
      </w:r>
    </w:p>
    <w:p w14:paraId="3E09A3DB" w14:textId="5419F426" w:rsidR="003C67A3" w:rsidRPr="000F34B0" w:rsidRDefault="000F34B0" w:rsidP="000F34B0">
      <w:pPr>
        <w:jc w:val="center"/>
        <w:rPr>
          <w:b/>
          <w:bCs/>
        </w:rPr>
      </w:pPr>
      <w:r w:rsidRPr="000F34B0">
        <w:rPr>
          <w:b/>
          <w:bCs/>
        </w:rPr>
        <w:t>The Medical Devices (Amendment etc.) (EU Exit) Regulations 2019.</w:t>
      </w:r>
    </w:p>
    <w:p w14:paraId="105EB49F" w14:textId="3AB21F43" w:rsidR="0044429B" w:rsidRDefault="0088129E" w:rsidP="0088129E">
      <w:r w:rsidRPr="00B923F6">
        <w:rPr>
          <w:b/>
          <w:bCs/>
        </w:rPr>
        <w:t>Regulation 1</w:t>
      </w:r>
      <w:r>
        <w:t xml:space="preserve"> </w:t>
      </w:r>
      <w:r w:rsidR="0048258F">
        <w:t>specifies</w:t>
      </w:r>
      <w:r w:rsidR="00335179">
        <w:t xml:space="preserve"> that th</w:t>
      </w:r>
      <w:r w:rsidR="0044429B">
        <w:t>e</w:t>
      </w:r>
      <w:r w:rsidR="0048258F">
        <w:t xml:space="preserve">se </w:t>
      </w:r>
      <w:r>
        <w:t>regulations come into force</w:t>
      </w:r>
      <w:r w:rsidR="00185343">
        <w:t xml:space="preserve"> </w:t>
      </w:r>
      <w:r>
        <w:t>on “Exit day”</w:t>
      </w:r>
      <w:r w:rsidR="00335179">
        <w:t xml:space="preserve">. </w:t>
      </w:r>
      <w:r w:rsidR="0048258F">
        <w:t>N</w:t>
      </w:r>
      <w:r w:rsidR="0044429B">
        <w:t xml:space="preserve">ew registration requirements, fees and definitions </w:t>
      </w:r>
      <w:r w:rsidR="0048258F">
        <w:t xml:space="preserve">associated with registration will </w:t>
      </w:r>
      <w:r w:rsidR="0044429B">
        <w:t>com</w:t>
      </w:r>
      <w:r w:rsidR="0048258F">
        <w:t>e</w:t>
      </w:r>
      <w:r w:rsidR="0044429B">
        <w:t xml:space="preserve"> into force </w:t>
      </w:r>
      <w:r w:rsidR="00185343">
        <w:t>four</w:t>
      </w:r>
      <w:r w:rsidR="0044429B">
        <w:t xml:space="preserve"> months after Exit day. </w:t>
      </w:r>
      <w:r w:rsidR="00B923F6">
        <w:t>N</w:t>
      </w:r>
      <w:r w:rsidR="0044429B">
        <w:t xml:space="preserve">ew medical device requirements </w:t>
      </w:r>
      <w:r w:rsidR="00D20222" w:rsidRPr="00D20222">
        <w:rPr>
          <w:b/>
          <w:bCs/>
          <w:i/>
          <w:iCs/>
        </w:rPr>
        <w:t>(Regulation 10</w:t>
      </w:r>
      <w:r w:rsidR="00D20222" w:rsidRPr="00D20222">
        <w:rPr>
          <w:i/>
          <w:iCs/>
        </w:rPr>
        <w:t>)</w:t>
      </w:r>
      <w:r w:rsidR="00D20222">
        <w:t xml:space="preserve"> </w:t>
      </w:r>
      <w:r w:rsidR="0044429B">
        <w:t>com</w:t>
      </w:r>
      <w:r w:rsidR="00185343">
        <w:t>e</w:t>
      </w:r>
      <w:r w:rsidR="0044429B">
        <w:t xml:space="preserve"> into force on </w:t>
      </w:r>
      <w:r w:rsidR="00185343">
        <w:t>26 May 2020, and new IVD requirements</w:t>
      </w:r>
      <w:r w:rsidR="0044429B">
        <w:t xml:space="preserve"> </w:t>
      </w:r>
      <w:r w:rsidR="00D20222" w:rsidRPr="00D20222">
        <w:rPr>
          <w:i/>
          <w:iCs/>
        </w:rPr>
        <w:t>(</w:t>
      </w:r>
      <w:r w:rsidR="00D20222" w:rsidRPr="00D20222">
        <w:rPr>
          <w:b/>
          <w:bCs/>
          <w:i/>
          <w:iCs/>
        </w:rPr>
        <w:t>Regulation 11</w:t>
      </w:r>
      <w:r w:rsidR="00D20222" w:rsidRPr="00D20222">
        <w:rPr>
          <w:i/>
          <w:iCs/>
        </w:rPr>
        <w:t>)</w:t>
      </w:r>
      <w:r w:rsidR="00D20222">
        <w:t xml:space="preserve"> </w:t>
      </w:r>
      <w:r w:rsidR="00185343">
        <w:t>come into force on 26 May 2022.</w:t>
      </w:r>
      <w:r w:rsidR="0044429B">
        <w:t xml:space="preserve">     </w:t>
      </w:r>
    </w:p>
    <w:p w14:paraId="3123DD65" w14:textId="0E69039F" w:rsidR="00436744" w:rsidRDefault="00E809B4" w:rsidP="0088129E">
      <w:r w:rsidRPr="00B923F6">
        <w:rPr>
          <w:b/>
          <w:bCs/>
        </w:rPr>
        <w:t>Regulation 2</w:t>
      </w:r>
      <w:r>
        <w:t xml:space="preserve"> clarifies that this 2019 Act is an amend</w:t>
      </w:r>
      <w:r w:rsidR="00F1365C">
        <w:t>ing act</w:t>
      </w:r>
      <w:r w:rsidR="00335179">
        <w:t xml:space="preserve"> to the</w:t>
      </w:r>
      <w:r w:rsidR="0088129E" w:rsidRPr="0088129E">
        <w:t xml:space="preserve"> </w:t>
      </w:r>
      <w:r w:rsidR="00F1365C">
        <w:t xml:space="preserve">2002 </w:t>
      </w:r>
      <w:r w:rsidR="0088129E" w:rsidRPr="0088129E">
        <w:t>Medical Devices Regulations</w:t>
      </w:r>
      <w:r w:rsidR="00F1365C">
        <w:t xml:space="preserve">. The 2002 act was the </w:t>
      </w:r>
      <w:r w:rsidR="002E44B0">
        <w:t>legislation</w:t>
      </w:r>
      <w:r w:rsidR="00F1365C">
        <w:t xml:space="preserve"> that </w:t>
      </w:r>
      <w:r w:rsidR="002E44B0">
        <w:t xml:space="preserve">originally </w:t>
      </w:r>
      <w:r w:rsidR="00335179">
        <w:t xml:space="preserve">implemented the </w:t>
      </w:r>
      <w:r w:rsidR="00436744">
        <w:t xml:space="preserve">European </w:t>
      </w:r>
      <w:r w:rsidR="00335179">
        <w:t xml:space="preserve">medical device directives into UK law. </w:t>
      </w:r>
      <w:r w:rsidR="00B923F6" w:rsidRPr="00917371">
        <w:rPr>
          <w:i/>
          <w:iCs/>
        </w:rPr>
        <w:t>Note: This</w:t>
      </w:r>
      <w:r w:rsidR="002E44B0" w:rsidRPr="00917371">
        <w:rPr>
          <w:i/>
          <w:iCs/>
        </w:rPr>
        <w:t xml:space="preserve"> means</w:t>
      </w:r>
      <w:r w:rsidR="00F1365C" w:rsidRPr="00917371">
        <w:rPr>
          <w:i/>
          <w:iCs/>
        </w:rPr>
        <w:t xml:space="preserve"> </w:t>
      </w:r>
      <w:r w:rsidR="00436744" w:rsidRPr="00917371">
        <w:rPr>
          <w:i/>
          <w:iCs/>
        </w:rPr>
        <w:t>th</w:t>
      </w:r>
      <w:r w:rsidR="002E44B0" w:rsidRPr="00917371">
        <w:rPr>
          <w:i/>
          <w:iCs/>
        </w:rPr>
        <w:t>at the 2019 regulation</w:t>
      </w:r>
      <w:r w:rsidR="00436744" w:rsidRPr="00917371">
        <w:rPr>
          <w:i/>
          <w:iCs/>
        </w:rPr>
        <w:t xml:space="preserve"> </w:t>
      </w:r>
      <w:r w:rsidR="002E44B0" w:rsidRPr="00917371">
        <w:rPr>
          <w:i/>
          <w:iCs/>
        </w:rPr>
        <w:t xml:space="preserve">is </w:t>
      </w:r>
      <w:r w:rsidR="00436744" w:rsidRPr="00917371">
        <w:rPr>
          <w:i/>
          <w:iCs/>
        </w:rPr>
        <w:t>no</w:t>
      </w:r>
      <w:r w:rsidR="002E44B0" w:rsidRPr="00917371">
        <w:rPr>
          <w:i/>
          <w:iCs/>
        </w:rPr>
        <w:t>t</w:t>
      </w:r>
      <w:r w:rsidR="00436744" w:rsidRPr="00917371">
        <w:rPr>
          <w:i/>
          <w:iCs/>
        </w:rPr>
        <w:t xml:space="preserve"> </w:t>
      </w:r>
      <w:r w:rsidR="002E44B0" w:rsidRPr="00917371">
        <w:rPr>
          <w:i/>
          <w:iCs/>
        </w:rPr>
        <w:t xml:space="preserve">a </w:t>
      </w:r>
      <w:r w:rsidR="00436744" w:rsidRPr="00917371">
        <w:rPr>
          <w:i/>
          <w:iCs/>
        </w:rPr>
        <w:t>stand-alone regulation</w:t>
      </w:r>
      <w:r w:rsidR="002E44B0" w:rsidRPr="00917371">
        <w:rPr>
          <w:i/>
          <w:iCs/>
        </w:rPr>
        <w:t xml:space="preserve"> and, at least at the time of writing this commentary, neither is there a consolidated version. </w:t>
      </w:r>
      <w:r w:rsidR="00436744" w:rsidRPr="00917371">
        <w:rPr>
          <w:i/>
          <w:iCs/>
        </w:rPr>
        <w:t xml:space="preserve">One has </w:t>
      </w:r>
      <w:r w:rsidR="002E44B0" w:rsidRPr="00917371">
        <w:rPr>
          <w:i/>
          <w:iCs/>
        </w:rPr>
        <w:t xml:space="preserve">for the time being </w:t>
      </w:r>
      <w:r w:rsidR="00436744" w:rsidRPr="00917371">
        <w:rPr>
          <w:i/>
          <w:iCs/>
        </w:rPr>
        <w:t>to read the 2002 Regulation</w:t>
      </w:r>
      <w:r w:rsidR="00F1365C" w:rsidRPr="00917371">
        <w:rPr>
          <w:i/>
          <w:iCs/>
        </w:rPr>
        <w:t>,</w:t>
      </w:r>
      <w:r w:rsidR="00436744" w:rsidRPr="00917371">
        <w:rPr>
          <w:i/>
          <w:iCs/>
        </w:rPr>
        <w:t xml:space="preserve"> </w:t>
      </w:r>
      <w:r w:rsidR="00F1365C" w:rsidRPr="00917371">
        <w:rPr>
          <w:i/>
          <w:iCs/>
        </w:rPr>
        <w:t>together with</w:t>
      </w:r>
      <w:r w:rsidR="00436744" w:rsidRPr="00917371">
        <w:rPr>
          <w:i/>
          <w:iCs/>
        </w:rPr>
        <w:t xml:space="preserve"> the 2019 amendments</w:t>
      </w:r>
      <w:r w:rsidR="00F1365C" w:rsidRPr="00917371">
        <w:rPr>
          <w:i/>
          <w:iCs/>
        </w:rPr>
        <w:t>,</w:t>
      </w:r>
      <w:r w:rsidR="00436744" w:rsidRPr="00917371">
        <w:rPr>
          <w:i/>
          <w:iCs/>
        </w:rPr>
        <w:t xml:space="preserve"> </w:t>
      </w:r>
      <w:r w:rsidR="00F1365C" w:rsidRPr="00917371">
        <w:rPr>
          <w:i/>
          <w:iCs/>
        </w:rPr>
        <w:t xml:space="preserve">in order </w:t>
      </w:r>
      <w:r w:rsidR="00436744" w:rsidRPr="00917371">
        <w:rPr>
          <w:i/>
          <w:iCs/>
        </w:rPr>
        <w:t xml:space="preserve">to understand the UK’s new </w:t>
      </w:r>
      <w:r w:rsidR="00F1365C" w:rsidRPr="00917371">
        <w:rPr>
          <w:i/>
          <w:iCs/>
        </w:rPr>
        <w:t xml:space="preserve">medical device </w:t>
      </w:r>
      <w:r w:rsidR="00436744" w:rsidRPr="00917371">
        <w:rPr>
          <w:i/>
          <w:iCs/>
        </w:rPr>
        <w:t>regulations.</w:t>
      </w:r>
      <w:r w:rsidR="00436744">
        <w:t xml:space="preserve"> </w:t>
      </w:r>
    </w:p>
    <w:p w14:paraId="4D69AF64" w14:textId="2147E7D2" w:rsidR="00A61053" w:rsidRDefault="00F1365C" w:rsidP="00A61053">
      <w:r w:rsidRPr="00B923F6">
        <w:rPr>
          <w:b/>
          <w:bCs/>
        </w:rPr>
        <w:t>Regulation 3</w:t>
      </w:r>
      <w:r>
        <w:t xml:space="preserve"> a</w:t>
      </w:r>
      <w:r w:rsidR="00A61053">
        <w:t xml:space="preserve">mends </w:t>
      </w:r>
      <w:r w:rsidR="00C2242E">
        <w:t xml:space="preserve">Part </w:t>
      </w:r>
      <w:r w:rsidR="008E1793">
        <w:t>I</w:t>
      </w:r>
      <w:r w:rsidR="00C2242E">
        <w:t xml:space="preserve"> of</w:t>
      </w:r>
      <w:r w:rsidR="00A61053">
        <w:t xml:space="preserve"> the 2002 Regulations</w:t>
      </w:r>
      <w:r w:rsidR="008E1793">
        <w:t>, the provisions applicable to all medical devices</w:t>
      </w:r>
      <w:r w:rsidR="00942133">
        <w:t>. T</w:t>
      </w:r>
      <w:r>
        <w:t>he</w:t>
      </w:r>
      <w:r w:rsidR="008E1793">
        <w:t>se</w:t>
      </w:r>
      <w:r>
        <w:t xml:space="preserve"> amendments </w:t>
      </w:r>
      <w:r w:rsidR="00942133">
        <w:t xml:space="preserve">are quite wide ranging and </w:t>
      </w:r>
      <w:r w:rsidR="00C2242E">
        <w:t>include</w:t>
      </w:r>
      <w:r>
        <w:t xml:space="preserve"> the following</w:t>
      </w:r>
      <w:r w:rsidR="00B377DB">
        <w:t>:</w:t>
      </w:r>
    </w:p>
    <w:p w14:paraId="7C8A9BD5" w14:textId="19E3A02A" w:rsidR="00CE621F" w:rsidRPr="00B923F6" w:rsidRDefault="006259EF" w:rsidP="00A61053">
      <w:pPr>
        <w:pStyle w:val="ListParagraph"/>
        <w:numPr>
          <w:ilvl w:val="0"/>
          <w:numId w:val="1"/>
        </w:numPr>
      </w:pPr>
      <w:r w:rsidRPr="00B923F6">
        <w:t>Add</w:t>
      </w:r>
      <w:r w:rsidR="00D277D1" w:rsidRPr="00B923F6">
        <w:t>s</w:t>
      </w:r>
      <w:r w:rsidR="00C2242E" w:rsidRPr="00B923F6">
        <w:t xml:space="preserve"> </w:t>
      </w:r>
      <w:r w:rsidR="00C17E12" w:rsidRPr="00B923F6">
        <w:t>2</w:t>
      </w:r>
      <w:r w:rsidR="00BF2A12" w:rsidRPr="00B923F6">
        <w:t>6</w:t>
      </w:r>
      <w:r w:rsidR="00C17E12" w:rsidRPr="00B923F6">
        <w:t xml:space="preserve"> new “Schedules” </w:t>
      </w:r>
      <w:r w:rsidR="00A61053" w:rsidRPr="00917371">
        <w:rPr>
          <w:i/>
          <w:iCs/>
        </w:rPr>
        <w:t>(</w:t>
      </w:r>
      <w:r w:rsidR="0094251D" w:rsidRPr="00917371">
        <w:rPr>
          <w:i/>
          <w:iCs/>
        </w:rPr>
        <w:t xml:space="preserve">a UK specific term </w:t>
      </w:r>
      <w:r w:rsidRPr="00917371">
        <w:rPr>
          <w:i/>
          <w:iCs/>
        </w:rPr>
        <w:t xml:space="preserve">equivalent of </w:t>
      </w:r>
      <w:r w:rsidR="00A61053" w:rsidRPr="00917371">
        <w:rPr>
          <w:i/>
          <w:iCs/>
        </w:rPr>
        <w:t>the EU’s Annexes)</w:t>
      </w:r>
      <w:r w:rsidR="00A61053" w:rsidRPr="00B923F6">
        <w:t xml:space="preserve"> </w:t>
      </w:r>
      <w:r w:rsidR="00C17E12" w:rsidRPr="00B923F6">
        <w:t>to the 2002 Regulations</w:t>
      </w:r>
      <w:r w:rsidR="001959DD">
        <w:t xml:space="preserve"> (See </w:t>
      </w:r>
      <w:r w:rsidR="001959DD" w:rsidRPr="001959DD">
        <w:rPr>
          <w:b/>
          <w:bCs/>
        </w:rPr>
        <w:t>Regulation 12</w:t>
      </w:r>
      <w:r w:rsidR="001959DD">
        <w:t>)</w:t>
      </w:r>
      <w:r w:rsidR="00C17E12" w:rsidRPr="00B923F6">
        <w:t>.</w:t>
      </w:r>
      <w:r w:rsidR="00CE621F" w:rsidRPr="00B923F6">
        <w:t xml:space="preserve"> </w:t>
      </w:r>
    </w:p>
    <w:p w14:paraId="28F0389C" w14:textId="464FF5B3" w:rsidR="002E7086" w:rsidRPr="00B923F6" w:rsidRDefault="00CE621F" w:rsidP="00CE621F">
      <w:pPr>
        <w:pStyle w:val="ListParagraph"/>
        <w:numPr>
          <w:ilvl w:val="1"/>
          <w:numId w:val="1"/>
        </w:numPr>
      </w:pPr>
      <w:r w:rsidRPr="00B923F6">
        <w:t>The first</w:t>
      </w:r>
      <w:r w:rsidR="00281A5C">
        <w:t xml:space="preserve"> </w:t>
      </w:r>
      <w:r w:rsidRPr="00B923F6">
        <w:t xml:space="preserve">Schedule </w:t>
      </w:r>
      <w:r w:rsidR="00281A5C">
        <w:t>(</w:t>
      </w:r>
      <w:r w:rsidRPr="00B923F6">
        <w:t>No. 2</w:t>
      </w:r>
      <w:r w:rsidR="00281A5C">
        <w:t>)</w:t>
      </w:r>
      <w:r w:rsidRPr="00B923F6">
        <w:t xml:space="preserve"> list</w:t>
      </w:r>
      <w:r w:rsidR="00B923F6">
        <w:t>s</w:t>
      </w:r>
      <w:r w:rsidRPr="00B923F6">
        <w:t xml:space="preserve"> </w:t>
      </w:r>
      <w:r w:rsidR="00B923F6">
        <w:t xml:space="preserve">those </w:t>
      </w:r>
      <w:r w:rsidRPr="00B923F6">
        <w:t xml:space="preserve">countries with MRAs on conformity assessment bodies </w:t>
      </w:r>
      <w:r w:rsidRPr="00917371">
        <w:rPr>
          <w:i/>
          <w:iCs/>
        </w:rPr>
        <w:t>(presumable to support MDSAP)</w:t>
      </w:r>
      <w:r w:rsidRPr="00B923F6">
        <w:t xml:space="preserve">, </w:t>
      </w:r>
      <w:r w:rsidR="00B923F6">
        <w:t xml:space="preserve">while the </w:t>
      </w:r>
      <w:r w:rsidRPr="00B923F6">
        <w:t xml:space="preserve">remainder </w:t>
      </w:r>
      <w:r w:rsidR="00B923F6" w:rsidRPr="00917371">
        <w:rPr>
          <w:i/>
          <w:iCs/>
        </w:rPr>
        <w:t>(Nos. 3-2</w:t>
      </w:r>
      <w:r w:rsidR="00281A5C" w:rsidRPr="00917371">
        <w:rPr>
          <w:i/>
          <w:iCs/>
        </w:rPr>
        <w:t>8</w:t>
      </w:r>
      <w:r w:rsidR="00B923F6" w:rsidRPr="00917371">
        <w:rPr>
          <w:i/>
          <w:iCs/>
        </w:rPr>
        <w:t>)</w:t>
      </w:r>
      <w:r w:rsidR="00B923F6">
        <w:t xml:space="preserve"> </w:t>
      </w:r>
      <w:r w:rsidRPr="00B923F6">
        <w:t xml:space="preserve">are Annexes from the MDR and IVDR.  </w:t>
      </w:r>
      <w:r w:rsidR="00A61053" w:rsidRPr="00B923F6">
        <w:t xml:space="preserve"> </w:t>
      </w:r>
    </w:p>
    <w:p w14:paraId="74240EE7" w14:textId="1BB4E0C3" w:rsidR="00D277D1" w:rsidRPr="00B923F6" w:rsidRDefault="00D277D1" w:rsidP="00A61053">
      <w:pPr>
        <w:pStyle w:val="ListParagraph"/>
        <w:numPr>
          <w:ilvl w:val="0"/>
          <w:numId w:val="1"/>
        </w:numPr>
      </w:pPr>
      <w:r w:rsidRPr="00B923F6">
        <w:t>Revises the definition of “Authorised representative” to being a person/entity outside the UK but inside the EEA.</w:t>
      </w:r>
    </w:p>
    <w:p w14:paraId="60786894" w14:textId="1B9A33AD" w:rsidR="00D277D1" w:rsidRDefault="00D277D1" w:rsidP="00A61053">
      <w:pPr>
        <w:pStyle w:val="ListParagraph"/>
        <w:numPr>
          <w:ilvl w:val="0"/>
          <w:numId w:val="1"/>
        </w:numPr>
      </w:pPr>
      <w:r>
        <w:t xml:space="preserve">Limits the old </w:t>
      </w:r>
      <w:r w:rsidR="00917371">
        <w:t xml:space="preserve">EU </w:t>
      </w:r>
      <w:r>
        <w:t xml:space="preserve">Directives </w:t>
      </w:r>
      <w:r w:rsidRPr="00917371">
        <w:rPr>
          <w:i/>
          <w:iCs/>
        </w:rPr>
        <w:t>(AIMDD/MDD/IVDD)</w:t>
      </w:r>
      <w:r>
        <w:t xml:space="preserve"> to being applicable until Brexit day. </w:t>
      </w:r>
    </w:p>
    <w:p w14:paraId="3154FB5A" w14:textId="0C9EDD1E" w:rsidR="00E91EA5" w:rsidRDefault="00452658" w:rsidP="00A61053">
      <w:pPr>
        <w:pStyle w:val="ListParagraph"/>
        <w:numPr>
          <w:ilvl w:val="0"/>
          <w:numId w:val="1"/>
        </w:numPr>
      </w:pPr>
      <w:r>
        <w:t>Removes references to the Medicines and Machinery Directives and replaces them with references to the UK’s own equivalent legislation.</w:t>
      </w:r>
    </w:p>
    <w:p w14:paraId="1859A325" w14:textId="4B8235B2" w:rsidR="00E91EA5" w:rsidRDefault="00452658" w:rsidP="00A61053">
      <w:pPr>
        <w:pStyle w:val="ListParagraph"/>
        <w:numPr>
          <w:ilvl w:val="0"/>
          <w:numId w:val="1"/>
        </w:numPr>
      </w:pPr>
      <w:r>
        <w:t xml:space="preserve">Removes EC </w:t>
      </w:r>
      <w:r w:rsidRPr="00FD1C26">
        <w:rPr>
          <w:i/>
          <w:iCs/>
        </w:rPr>
        <w:t>(European Community)</w:t>
      </w:r>
      <w:r>
        <w:t xml:space="preserve"> from references to Conformity Assessment Body </w:t>
      </w:r>
      <w:r w:rsidRPr="00FD1C26">
        <w:rPr>
          <w:i/>
          <w:iCs/>
        </w:rPr>
        <w:t>(CAB)</w:t>
      </w:r>
      <w:r>
        <w:t>.</w:t>
      </w:r>
    </w:p>
    <w:p w14:paraId="1FA3F6D9" w14:textId="243B773A" w:rsidR="00D277D1" w:rsidRDefault="00D277D1" w:rsidP="00A61053">
      <w:pPr>
        <w:pStyle w:val="ListParagraph"/>
        <w:numPr>
          <w:ilvl w:val="0"/>
          <w:numId w:val="1"/>
        </w:numPr>
      </w:pPr>
      <w:r>
        <w:t xml:space="preserve">Limits the definition of “Clinical investigations” to those performed in the UK </w:t>
      </w:r>
    </w:p>
    <w:p w14:paraId="12886F05" w14:textId="58F93ACB" w:rsidR="00F5481B" w:rsidRDefault="00F5481B" w:rsidP="00A61053">
      <w:pPr>
        <w:pStyle w:val="ListParagraph"/>
        <w:numPr>
          <w:ilvl w:val="0"/>
          <w:numId w:val="1"/>
        </w:numPr>
      </w:pPr>
      <w:r>
        <w:t>Amends the definitions of “Placing on the market” and “Putting into service” by replacing “Community</w:t>
      </w:r>
      <w:r w:rsidR="00FD1C26">
        <w:t xml:space="preserve"> </w:t>
      </w:r>
      <w:r>
        <w:t xml:space="preserve">market” with the “United Kingdom” </w:t>
      </w:r>
    </w:p>
    <w:p w14:paraId="08765FC5" w14:textId="7A7E7B46" w:rsidR="002E7086" w:rsidRPr="00B923F6" w:rsidRDefault="00452658" w:rsidP="00A61053">
      <w:pPr>
        <w:pStyle w:val="ListParagraph"/>
        <w:numPr>
          <w:ilvl w:val="0"/>
          <w:numId w:val="1"/>
        </w:numPr>
      </w:pPr>
      <w:r w:rsidRPr="00B923F6">
        <w:t xml:space="preserve">Removes the term “Harmonised Standard” from UK legislation </w:t>
      </w:r>
      <w:r w:rsidR="00F5481B" w:rsidRPr="00B923F6">
        <w:t>and i</w:t>
      </w:r>
      <w:r w:rsidR="00A61053" w:rsidRPr="00B923F6">
        <w:t>ntroduc</w:t>
      </w:r>
      <w:r w:rsidR="00F5481B" w:rsidRPr="00B923F6">
        <w:t>es</w:t>
      </w:r>
      <w:r w:rsidR="002E7086" w:rsidRPr="00B923F6">
        <w:t xml:space="preserve"> </w:t>
      </w:r>
      <w:r w:rsidR="006259EF" w:rsidRPr="00B923F6">
        <w:t>a</w:t>
      </w:r>
      <w:r w:rsidR="0094251D" w:rsidRPr="00B923F6">
        <w:t xml:space="preserve"> new UK specific</w:t>
      </w:r>
      <w:r w:rsidR="006259EF" w:rsidRPr="00B923F6">
        <w:t xml:space="preserve"> </w:t>
      </w:r>
      <w:r w:rsidR="002E7086" w:rsidRPr="00B923F6">
        <w:t xml:space="preserve">term </w:t>
      </w:r>
      <w:r w:rsidR="00F5481B" w:rsidRPr="00B923F6">
        <w:t xml:space="preserve">of </w:t>
      </w:r>
      <w:r w:rsidR="00A61053" w:rsidRPr="00B923F6">
        <w:t xml:space="preserve">“Designated Standard” for Standards </w:t>
      </w:r>
      <w:r w:rsidR="00942133" w:rsidRPr="00B923F6">
        <w:t xml:space="preserve">that are </w:t>
      </w:r>
      <w:r w:rsidR="006259EF" w:rsidRPr="00B923F6">
        <w:t>accepted</w:t>
      </w:r>
      <w:r w:rsidR="00A61053" w:rsidRPr="00B923F6">
        <w:t xml:space="preserve"> by the UK authorities.</w:t>
      </w:r>
    </w:p>
    <w:p w14:paraId="614C347F" w14:textId="1C6F8C68" w:rsidR="000F1D7C" w:rsidRPr="00FD1C26" w:rsidRDefault="000F1D7C" w:rsidP="000F1D7C">
      <w:pPr>
        <w:pStyle w:val="ListParagraph"/>
        <w:numPr>
          <w:ilvl w:val="1"/>
          <w:numId w:val="1"/>
        </w:numPr>
        <w:rPr>
          <w:i/>
          <w:iCs/>
        </w:rPr>
      </w:pPr>
      <w:r w:rsidRPr="00B923F6">
        <w:t xml:space="preserve">Introduces another UK specific term “UK Responsible Person” </w:t>
      </w:r>
      <w:r w:rsidRPr="00FD1C26">
        <w:rPr>
          <w:i/>
          <w:iCs/>
        </w:rPr>
        <w:t>(equivalent of the EU’s Authorised Representative)</w:t>
      </w:r>
      <w:r w:rsidR="00FD1C26" w:rsidRPr="00FD1C26">
        <w:rPr>
          <w:i/>
          <w:iCs/>
        </w:rPr>
        <w:t xml:space="preserve"> Note: Do not confuse this term </w:t>
      </w:r>
      <w:r w:rsidRPr="00FD1C26">
        <w:rPr>
          <w:i/>
          <w:iCs/>
        </w:rPr>
        <w:t>with “Person Responsible for Regulatory Compliance”</w:t>
      </w:r>
      <w:r w:rsidR="00FD1C26">
        <w:rPr>
          <w:i/>
          <w:iCs/>
        </w:rPr>
        <w:t>. They are quite different</w:t>
      </w:r>
      <w:r w:rsidRPr="00FD1C26">
        <w:rPr>
          <w:i/>
          <w:iCs/>
        </w:rPr>
        <w:t xml:space="preserve">. </w:t>
      </w:r>
    </w:p>
    <w:p w14:paraId="2B72E3D6" w14:textId="3F306C56" w:rsidR="00452658" w:rsidRDefault="00CE621F" w:rsidP="00A61053">
      <w:pPr>
        <w:pStyle w:val="ListParagraph"/>
        <w:numPr>
          <w:ilvl w:val="0"/>
          <w:numId w:val="1"/>
        </w:numPr>
      </w:pPr>
      <w:r>
        <w:t>Amends the definition of mutual recognition agreements and reference</w:t>
      </w:r>
      <w:r w:rsidR="00452658">
        <w:t xml:space="preserve"> </w:t>
      </w:r>
      <w:r>
        <w:t xml:space="preserve">the new </w:t>
      </w:r>
      <w:r w:rsidR="00452658">
        <w:t xml:space="preserve">Schedule </w:t>
      </w:r>
      <w:r w:rsidR="00452658" w:rsidRPr="00FD1C26">
        <w:rPr>
          <w:i/>
          <w:iCs/>
        </w:rPr>
        <w:t>(Annex)</w:t>
      </w:r>
      <w:r w:rsidR="00452658">
        <w:t xml:space="preserve"> No. 2 listing </w:t>
      </w:r>
      <w:r>
        <w:t xml:space="preserve">the </w:t>
      </w:r>
      <w:r w:rsidR="00452658">
        <w:t>countries with a mutual recognition agreement.</w:t>
      </w:r>
    </w:p>
    <w:p w14:paraId="7DE47EB0" w14:textId="3FB8F9D5" w:rsidR="006259EF" w:rsidRDefault="006259EF" w:rsidP="00A61053">
      <w:pPr>
        <w:pStyle w:val="ListParagraph"/>
        <w:numPr>
          <w:ilvl w:val="0"/>
          <w:numId w:val="1"/>
        </w:numPr>
      </w:pPr>
      <w:r>
        <w:lastRenderedPageBreak/>
        <w:t>Bring</w:t>
      </w:r>
      <w:r w:rsidR="00C2242E">
        <w:t>ing</w:t>
      </w:r>
      <w:r w:rsidRPr="006259EF">
        <w:t xml:space="preserve"> together several </w:t>
      </w:r>
      <w:r>
        <w:t>of the EU</w:t>
      </w:r>
      <w:r w:rsidRPr="006259EF">
        <w:t>MDR/</w:t>
      </w:r>
      <w:r>
        <w:t>EU</w:t>
      </w:r>
      <w:r w:rsidRPr="006259EF">
        <w:t>IVDR</w:t>
      </w:r>
      <w:r w:rsidR="00942133">
        <w:t>’s</w:t>
      </w:r>
      <w:r w:rsidRPr="006259EF">
        <w:t xml:space="preserve"> mentions of confidentiality into one place</w:t>
      </w:r>
      <w:r>
        <w:t>.</w:t>
      </w:r>
    </w:p>
    <w:p w14:paraId="3D64A1C5" w14:textId="007FE3AB" w:rsidR="006259EF" w:rsidRDefault="006259EF" w:rsidP="00A61053">
      <w:pPr>
        <w:pStyle w:val="ListParagraph"/>
        <w:numPr>
          <w:ilvl w:val="0"/>
          <w:numId w:val="1"/>
        </w:numPr>
      </w:pPr>
      <w:r>
        <w:t>Allow</w:t>
      </w:r>
      <w:r w:rsidR="00942133">
        <w:t>ing</w:t>
      </w:r>
      <w:r>
        <w:t xml:space="preserve"> medical devices to comply with the new regulations before May 2020 and IVDs before May 2022.</w:t>
      </w:r>
    </w:p>
    <w:p w14:paraId="2AAFF90F" w14:textId="408F3837" w:rsidR="0088129E" w:rsidRDefault="00D575EF" w:rsidP="00A61053">
      <w:pPr>
        <w:pStyle w:val="ListParagraph"/>
        <w:numPr>
          <w:ilvl w:val="0"/>
          <w:numId w:val="1"/>
        </w:numPr>
      </w:pPr>
      <w:r>
        <w:t>Allows for transitional</w:t>
      </w:r>
      <w:r w:rsidR="00C2242E">
        <w:t xml:space="preserve"> </w:t>
      </w:r>
      <w:r w:rsidR="006259EF">
        <w:t xml:space="preserve">registration requirements </w:t>
      </w:r>
      <w:r>
        <w:t>for legacy AIMDD/MDD/IVDD devices</w:t>
      </w:r>
      <w:r w:rsidR="006259EF">
        <w:t xml:space="preserve">.  </w:t>
      </w:r>
      <w:r w:rsidR="00A61053">
        <w:t xml:space="preserve">  </w:t>
      </w:r>
    </w:p>
    <w:p w14:paraId="4B0C1F55" w14:textId="4F7A7C41" w:rsidR="006259EF" w:rsidRDefault="00B377DB" w:rsidP="00A61053">
      <w:pPr>
        <w:pStyle w:val="ListParagraph"/>
        <w:numPr>
          <w:ilvl w:val="0"/>
          <w:numId w:val="1"/>
        </w:numPr>
      </w:pPr>
      <w:r>
        <w:t>Allow</w:t>
      </w:r>
      <w:r w:rsidR="00C2242E">
        <w:t>ing</w:t>
      </w:r>
      <w:r>
        <w:t xml:space="preserve"> for transitional </w:t>
      </w:r>
      <w:r w:rsidR="00C2242E">
        <w:t>arrangement</w:t>
      </w:r>
      <w:r>
        <w:t xml:space="preserve"> on registration data requirements should the new database not be available in time.</w:t>
      </w:r>
    </w:p>
    <w:p w14:paraId="4B1F5E47" w14:textId="567F7C9A" w:rsidR="00B377DB" w:rsidRDefault="00B377DB" w:rsidP="00A61053">
      <w:pPr>
        <w:pStyle w:val="ListParagraph"/>
        <w:numPr>
          <w:ilvl w:val="0"/>
          <w:numId w:val="1"/>
        </w:numPr>
      </w:pPr>
      <w:r>
        <w:t>Allow</w:t>
      </w:r>
      <w:r w:rsidR="00C2242E">
        <w:t>ing</w:t>
      </w:r>
      <w:r>
        <w:t xml:space="preserve"> legacy AIMDs, MDs and IVDs to be registered until 2025.</w:t>
      </w:r>
    </w:p>
    <w:p w14:paraId="3387A371" w14:textId="16A21FD9" w:rsidR="00B377DB" w:rsidRDefault="00B377DB" w:rsidP="00A61053">
      <w:pPr>
        <w:pStyle w:val="ListParagraph"/>
        <w:numPr>
          <w:ilvl w:val="0"/>
          <w:numId w:val="1"/>
        </w:numPr>
      </w:pPr>
      <w:r>
        <w:t>Revok</w:t>
      </w:r>
      <w:r w:rsidR="00C2242E">
        <w:t>ing</w:t>
      </w:r>
      <w:r>
        <w:t xml:space="preserve"> a number of Commission Decisions and EU Regulations and align</w:t>
      </w:r>
      <w:r w:rsidR="00C2242E">
        <w:t>ing</w:t>
      </w:r>
      <w:r>
        <w:t xml:space="preserve"> definitions across other UK legislation</w:t>
      </w:r>
      <w:r w:rsidR="00AD4A4A">
        <w:t xml:space="preserve"> that mentions medical devices</w:t>
      </w:r>
      <w:r>
        <w:t>.</w:t>
      </w:r>
    </w:p>
    <w:p w14:paraId="2C8560B4" w14:textId="77777777" w:rsidR="00635C67" w:rsidRDefault="00B377DB" w:rsidP="00C2242E">
      <w:r w:rsidRPr="001959DD">
        <w:rPr>
          <w:b/>
          <w:bCs/>
        </w:rPr>
        <w:t>Regulation 4</w:t>
      </w:r>
      <w:r>
        <w:t xml:space="preserve"> </w:t>
      </w:r>
      <w:r w:rsidR="0020122F">
        <w:t>a</w:t>
      </w:r>
      <w:r w:rsidR="00C2242E">
        <w:t xml:space="preserve">mends Part </w:t>
      </w:r>
      <w:r w:rsidR="008E1793">
        <w:t>II</w:t>
      </w:r>
      <w:r w:rsidR="00C2242E">
        <w:t xml:space="preserve"> of the 2002 Regulations</w:t>
      </w:r>
      <w:r w:rsidR="0094251D">
        <w:t xml:space="preserve"> on general medical devices</w:t>
      </w:r>
      <w:r w:rsidR="00942133">
        <w:t xml:space="preserve">. </w:t>
      </w:r>
    </w:p>
    <w:p w14:paraId="52B90A4B" w14:textId="44AF9484" w:rsidR="006A06B7" w:rsidRDefault="00193C4B" w:rsidP="00FD1C26">
      <w:pPr>
        <w:pStyle w:val="ListParagraph"/>
        <w:numPr>
          <w:ilvl w:val="0"/>
          <w:numId w:val="2"/>
        </w:numPr>
      </w:pPr>
      <w:r>
        <w:t>The amendment update</w:t>
      </w:r>
      <w:r w:rsidR="006A06B7">
        <w:t>s</w:t>
      </w:r>
      <w:r>
        <w:t xml:space="preserve"> the UK’s rules for placing “general medical devices” on the market.</w:t>
      </w:r>
      <w:r w:rsidR="00FD1C26">
        <w:t xml:space="preserve"> </w:t>
      </w:r>
      <w:r w:rsidR="00FD1C26" w:rsidRPr="00FD1C26">
        <w:rPr>
          <w:i/>
          <w:iCs/>
        </w:rPr>
        <w:t>(</w:t>
      </w:r>
      <w:r w:rsidR="006A06B7" w:rsidRPr="00FD1C26">
        <w:rPr>
          <w:i/>
          <w:iCs/>
        </w:rPr>
        <w:t>i.e. the MDD legislation</w:t>
      </w:r>
      <w:r w:rsidR="00FD1C26">
        <w:rPr>
          <w:i/>
          <w:iCs/>
        </w:rPr>
        <w:t>)</w:t>
      </w:r>
    </w:p>
    <w:p w14:paraId="20BF970F" w14:textId="3F58E6C1" w:rsidR="00193C4B" w:rsidRDefault="00193C4B" w:rsidP="00FD1C26">
      <w:pPr>
        <w:pStyle w:val="ListParagraph"/>
        <w:numPr>
          <w:ilvl w:val="0"/>
          <w:numId w:val="2"/>
        </w:numPr>
      </w:pPr>
      <w:r>
        <w:t xml:space="preserve">They update the registration obligations for legacy </w:t>
      </w:r>
      <w:r w:rsidR="006A06B7">
        <w:t xml:space="preserve">(MDD) </w:t>
      </w:r>
      <w:r>
        <w:t>general medical devices to cover the transitional period</w:t>
      </w:r>
      <w:r w:rsidR="006A06B7">
        <w:t xml:space="preserve"> 2020-2025</w:t>
      </w:r>
      <w:r>
        <w:t>.</w:t>
      </w:r>
      <w:r w:rsidR="00FD1C26">
        <w:t xml:space="preserve"> </w:t>
      </w:r>
      <w:r w:rsidR="00FD1C26" w:rsidRPr="00FD1C26">
        <w:rPr>
          <w:i/>
          <w:iCs/>
        </w:rPr>
        <w:t xml:space="preserve">Note: </w:t>
      </w:r>
      <w:r w:rsidRPr="00FD1C26">
        <w:rPr>
          <w:i/>
          <w:iCs/>
        </w:rPr>
        <w:t>It’s a half-way house between the limited registration requirements of the MDD and the full MDR registration requirements.</w:t>
      </w:r>
      <w:r>
        <w:t xml:space="preserve">  </w:t>
      </w:r>
    </w:p>
    <w:p w14:paraId="1AF6EAED" w14:textId="481EEFB1" w:rsidR="008742F7" w:rsidRDefault="00193C4B" w:rsidP="00193C4B">
      <w:pPr>
        <w:pStyle w:val="ListParagraph"/>
        <w:numPr>
          <w:ilvl w:val="0"/>
          <w:numId w:val="2"/>
        </w:numPr>
      </w:pPr>
      <w:r>
        <w:t xml:space="preserve">The person registering must have an address in the UK and fulfil many of the obligations found in </w:t>
      </w:r>
      <w:r w:rsidRPr="00635C67">
        <w:t>Article 11</w:t>
      </w:r>
      <w:r>
        <w:t xml:space="preserve"> on Authorised Representatives of the EU MDR.</w:t>
      </w:r>
    </w:p>
    <w:p w14:paraId="65F6D9FD" w14:textId="77777777" w:rsidR="00193C4B" w:rsidRDefault="0094251D" w:rsidP="0094251D">
      <w:r w:rsidRPr="001959DD">
        <w:rPr>
          <w:b/>
          <w:bCs/>
        </w:rPr>
        <w:t>Regulation 5</w:t>
      </w:r>
      <w:r w:rsidR="0020122F">
        <w:t xml:space="preserve"> a</w:t>
      </w:r>
      <w:r>
        <w:t xml:space="preserve">mends Part </w:t>
      </w:r>
      <w:r w:rsidR="008E1793">
        <w:t>III</w:t>
      </w:r>
      <w:r>
        <w:t xml:space="preserve"> of the 2002 Regulations on active implantable medical devices. </w:t>
      </w:r>
    </w:p>
    <w:p w14:paraId="2A25B222" w14:textId="23F248F9" w:rsidR="006A06B7" w:rsidRDefault="00193C4B" w:rsidP="00917371">
      <w:pPr>
        <w:pStyle w:val="ListParagraph"/>
        <w:numPr>
          <w:ilvl w:val="0"/>
          <w:numId w:val="2"/>
        </w:numPr>
      </w:pPr>
      <w:r>
        <w:t>The amendments update the UK’s rules for placing “</w:t>
      </w:r>
      <w:r w:rsidR="006A06B7">
        <w:t>active implantable medical devices</w:t>
      </w:r>
      <w:r>
        <w:t>” on the market.</w:t>
      </w:r>
      <w:r w:rsidR="00917371">
        <w:t xml:space="preserve"> </w:t>
      </w:r>
      <w:r w:rsidR="00917371" w:rsidRPr="00917371">
        <w:rPr>
          <w:i/>
          <w:iCs/>
        </w:rPr>
        <w:t>(</w:t>
      </w:r>
      <w:r w:rsidR="006A06B7" w:rsidRPr="00917371">
        <w:rPr>
          <w:i/>
          <w:iCs/>
        </w:rPr>
        <w:t>i.e. the AIMDD legislation</w:t>
      </w:r>
      <w:r w:rsidR="00917371">
        <w:rPr>
          <w:i/>
          <w:iCs/>
        </w:rPr>
        <w:t>)</w:t>
      </w:r>
    </w:p>
    <w:p w14:paraId="130A3563" w14:textId="5AB0087F" w:rsidR="00193C4B" w:rsidRDefault="00193C4B" w:rsidP="00917371">
      <w:pPr>
        <w:pStyle w:val="ListParagraph"/>
        <w:numPr>
          <w:ilvl w:val="0"/>
          <w:numId w:val="2"/>
        </w:numPr>
      </w:pPr>
      <w:r>
        <w:t xml:space="preserve">They update the registration obligations for legacy </w:t>
      </w:r>
      <w:r w:rsidR="006A06B7">
        <w:t>(AIMDD) active implantable medical devices</w:t>
      </w:r>
      <w:r>
        <w:t xml:space="preserve"> to cover the transitional period</w:t>
      </w:r>
      <w:r w:rsidR="006A06B7">
        <w:t xml:space="preserve"> 2020-2025</w:t>
      </w:r>
      <w:r>
        <w:t>.</w:t>
      </w:r>
      <w:r w:rsidR="00917371">
        <w:t xml:space="preserve"> </w:t>
      </w:r>
      <w:r w:rsidR="00917371" w:rsidRPr="00917371">
        <w:rPr>
          <w:i/>
          <w:iCs/>
        </w:rPr>
        <w:t xml:space="preserve">Note: </w:t>
      </w:r>
      <w:r w:rsidRPr="00917371">
        <w:rPr>
          <w:i/>
          <w:iCs/>
        </w:rPr>
        <w:t xml:space="preserve">It’s a half-way house between the limited registration requirements of the </w:t>
      </w:r>
      <w:r w:rsidR="00A81C1D" w:rsidRPr="00917371">
        <w:rPr>
          <w:i/>
          <w:iCs/>
        </w:rPr>
        <w:t>AIMD</w:t>
      </w:r>
      <w:r w:rsidRPr="00917371">
        <w:rPr>
          <w:i/>
          <w:iCs/>
        </w:rPr>
        <w:t xml:space="preserve">D and the full MDR registration requirements. </w:t>
      </w:r>
      <w:r>
        <w:t xml:space="preserve"> </w:t>
      </w:r>
    </w:p>
    <w:p w14:paraId="09AED35C" w14:textId="77777777" w:rsidR="00193C4B" w:rsidRDefault="00193C4B" w:rsidP="00193C4B">
      <w:pPr>
        <w:pStyle w:val="ListParagraph"/>
        <w:numPr>
          <w:ilvl w:val="0"/>
          <w:numId w:val="2"/>
        </w:numPr>
      </w:pPr>
      <w:r>
        <w:t xml:space="preserve">The person registering must have an address in the UK and fulfil many of the obligations found in </w:t>
      </w:r>
      <w:r w:rsidRPr="00635C67">
        <w:t>Article 11</w:t>
      </w:r>
      <w:r>
        <w:t xml:space="preserve"> on Authorised Representatives of the EU MDR.</w:t>
      </w:r>
    </w:p>
    <w:p w14:paraId="75F09B7C" w14:textId="77777777" w:rsidR="006A06B7" w:rsidRDefault="0020122F" w:rsidP="0020122F">
      <w:r w:rsidRPr="001959DD">
        <w:rPr>
          <w:b/>
          <w:bCs/>
        </w:rPr>
        <w:t>Regulation 6</w:t>
      </w:r>
      <w:r>
        <w:t xml:space="preserve"> amends Part </w:t>
      </w:r>
      <w:r w:rsidR="008E1793">
        <w:t>IV</w:t>
      </w:r>
      <w:r>
        <w:t xml:space="preserve"> of the 2002 Regulations on in vitro diagnostic medical devices. </w:t>
      </w:r>
    </w:p>
    <w:p w14:paraId="638490AF" w14:textId="022A2512" w:rsidR="006A06B7" w:rsidRDefault="006A06B7" w:rsidP="00917371">
      <w:pPr>
        <w:pStyle w:val="ListParagraph"/>
        <w:numPr>
          <w:ilvl w:val="0"/>
          <w:numId w:val="2"/>
        </w:numPr>
      </w:pPr>
      <w:r>
        <w:t>The amendments update the UK’s rules for placing “in vitro diagnostic medical devices” on the market.</w:t>
      </w:r>
      <w:r w:rsidR="00917371">
        <w:t xml:space="preserve"> </w:t>
      </w:r>
      <w:r w:rsidR="00917371" w:rsidRPr="00917371">
        <w:rPr>
          <w:i/>
          <w:iCs/>
        </w:rPr>
        <w:t xml:space="preserve">(i.e. </w:t>
      </w:r>
      <w:r w:rsidRPr="00917371">
        <w:rPr>
          <w:i/>
          <w:iCs/>
        </w:rPr>
        <w:t>the IVDD legislation</w:t>
      </w:r>
      <w:r w:rsidR="00917371" w:rsidRPr="00917371">
        <w:rPr>
          <w:i/>
          <w:iCs/>
        </w:rPr>
        <w:t>)</w:t>
      </w:r>
    </w:p>
    <w:p w14:paraId="3906AE57" w14:textId="42099105" w:rsidR="006A06B7" w:rsidRDefault="006A06B7" w:rsidP="00917371">
      <w:pPr>
        <w:pStyle w:val="ListParagraph"/>
        <w:numPr>
          <w:ilvl w:val="0"/>
          <w:numId w:val="2"/>
        </w:numPr>
      </w:pPr>
      <w:r>
        <w:t>They update the registration obligations for legacy (IVDD) in vitro diagnostic medical devices to cover the transitional period 2022-2025.</w:t>
      </w:r>
      <w:r w:rsidR="00917371">
        <w:t xml:space="preserve"> </w:t>
      </w:r>
      <w:r w:rsidR="00917371" w:rsidRPr="00917371">
        <w:rPr>
          <w:i/>
          <w:iCs/>
        </w:rPr>
        <w:t xml:space="preserve">Note: </w:t>
      </w:r>
      <w:r w:rsidRPr="00917371">
        <w:rPr>
          <w:i/>
          <w:iCs/>
        </w:rPr>
        <w:t xml:space="preserve">It’s a half-way house between the limited registration requirements of the </w:t>
      </w:r>
      <w:r w:rsidR="00A81C1D" w:rsidRPr="00917371">
        <w:rPr>
          <w:i/>
          <w:iCs/>
        </w:rPr>
        <w:t>IVD</w:t>
      </w:r>
      <w:r w:rsidRPr="00917371">
        <w:rPr>
          <w:i/>
          <w:iCs/>
        </w:rPr>
        <w:t>D and the full MDR registration requirements</w:t>
      </w:r>
      <w:r>
        <w:t xml:space="preserve">.  </w:t>
      </w:r>
    </w:p>
    <w:p w14:paraId="505B1ACB" w14:textId="6BCCBD45" w:rsidR="006A06B7" w:rsidRDefault="006A06B7" w:rsidP="006A06B7">
      <w:pPr>
        <w:pStyle w:val="ListParagraph"/>
        <w:numPr>
          <w:ilvl w:val="0"/>
          <w:numId w:val="2"/>
        </w:numPr>
      </w:pPr>
      <w:r>
        <w:t xml:space="preserve">The person registering must have an address in the UK and fulfil many of the obligations found in </w:t>
      </w:r>
      <w:r w:rsidRPr="00635C67">
        <w:t>Article 11</w:t>
      </w:r>
      <w:r>
        <w:t xml:space="preserve"> on Authorised Representatives of the EU </w:t>
      </w:r>
      <w:r w:rsidR="00A81C1D">
        <w:t>IV</w:t>
      </w:r>
      <w:r>
        <w:t>DR.</w:t>
      </w:r>
    </w:p>
    <w:p w14:paraId="40C8070D" w14:textId="77777777" w:rsidR="00A81C1D" w:rsidRDefault="0020122F" w:rsidP="0020122F">
      <w:r w:rsidRPr="001959DD">
        <w:rPr>
          <w:b/>
          <w:bCs/>
        </w:rPr>
        <w:t>Regulation 7</w:t>
      </w:r>
      <w:r>
        <w:t xml:space="preserve"> amends Part </w:t>
      </w:r>
      <w:r w:rsidR="008E1793">
        <w:t>V</w:t>
      </w:r>
      <w:r>
        <w:t xml:space="preserve"> of the 2002 Regulations on </w:t>
      </w:r>
      <w:r w:rsidR="008E1793">
        <w:t>Notified and Conformity Assessment bodies</w:t>
      </w:r>
      <w:r>
        <w:t xml:space="preserve">. </w:t>
      </w:r>
    </w:p>
    <w:p w14:paraId="7A4CBDE2" w14:textId="77777777" w:rsidR="00D64EED" w:rsidRDefault="00A81C1D" w:rsidP="00D64EED">
      <w:pPr>
        <w:pStyle w:val="ListParagraph"/>
        <w:numPr>
          <w:ilvl w:val="0"/>
          <w:numId w:val="2"/>
        </w:numPr>
      </w:pPr>
      <w:r>
        <w:t>The</w:t>
      </w:r>
      <w:r w:rsidR="00D64EED">
        <w:t xml:space="preserve"> amendments </w:t>
      </w:r>
      <w:r w:rsidR="008E1793">
        <w:t>limit</w:t>
      </w:r>
      <w:r w:rsidR="0020122F">
        <w:t xml:space="preserve"> </w:t>
      </w:r>
      <w:r w:rsidR="0020122F" w:rsidRPr="0020122F">
        <w:t>the</w:t>
      </w:r>
      <w:r w:rsidR="00D64EED">
        <w:t xml:space="preserve"> UK</w:t>
      </w:r>
      <w:r w:rsidR="0020122F" w:rsidRPr="0020122F">
        <w:t xml:space="preserve"> regulation</w:t>
      </w:r>
      <w:r w:rsidR="0020122F">
        <w:t>s</w:t>
      </w:r>
      <w:r w:rsidR="0020122F" w:rsidRPr="0020122F">
        <w:t xml:space="preserve"> </w:t>
      </w:r>
      <w:r w:rsidR="008E1793">
        <w:t xml:space="preserve">to </w:t>
      </w:r>
      <w:r w:rsidR="0020122F" w:rsidRPr="0020122F">
        <w:t>appl</w:t>
      </w:r>
      <w:r w:rsidR="00D64EED">
        <w:t xml:space="preserve">ying to </w:t>
      </w:r>
      <w:r w:rsidR="0020122F" w:rsidRPr="0020122F">
        <w:t xml:space="preserve">UK </w:t>
      </w:r>
      <w:r w:rsidR="00D64EED">
        <w:t>n</w:t>
      </w:r>
      <w:r w:rsidR="0020122F" w:rsidRPr="0020122F">
        <w:t xml:space="preserve">otified </w:t>
      </w:r>
      <w:r w:rsidR="00D64EED">
        <w:t xml:space="preserve">bodies </w:t>
      </w:r>
      <w:r w:rsidR="00D64EED" w:rsidRPr="00917371">
        <w:rPr>
          <w:i/>
          <w:iCs/>
        </w:rPr>
        <w:t>(not EC notified bodies)</w:t>
      </w:r>
      <w:r w:rsidR="00D64EED">
        <w:t xml:space="preserve">, </w:t>
      </w:r>
    </w:p>
    <w:p w14:paraId="1F74E368" w14:textId="07A2EA87" w:rsidR="00A81C1D" w:rsidRDefault="00990097" w:rsidP="00D64EED">
      <w:pPr>
        <w:pStyle w:val="ListParagraph"/>
        <w:numPr>
          <w:ilvl w:val="0"/>
          <w:numId w:val="2"/>
        </w:numPr>
      </w:pPr>
      <w:r>
        <w:t>Recognises</w:t>
      </w:r>
      <w:r w:rsidR="00D64EED">
        <w:t xml:space="preserve"> </w:t>
      </w:r>
      <w:r w:rsidR="008E1793">
        <w:t>C</w:t>
      </w:r>
      <w:r w:rsidR="0020122F" w:rsidRPr="0020122F">
        <w:t xml:space="preserve">onformity </w:t>
      </w:r>
      <w:r w:rsidR="008E1793">
        <w:t>A</w:t>
      </w:r>
      <w:r w:rsidR="0020122F" w:rsidRPr="0020122F">
        <w:t xml:space="preserve">ssessment </w:t>
      </w:r>
      <w:r w:rsidR="008E1793">
        <w:t>B</w:t>
      </w:r>
      <w:r w:rsidR="0020122F" w:rsidRPr="0020122F">
        <w:t>odies</w:t>
      </w:r>
      <w:r w:rsidR="0020122F">
        <w:t xml:space="preserve"> </w:t>
      </w:r>
      <w:r w:rsidR="00D64EED">
        <w:t xml:space="preserve">from </w:t>
      </w:r>
      <w:r>
        <w:t xml:space="preserve">additional </w:t>
      </w:r>
      <w:r w:rsidR="00D64EED">
        <w:t>countries who have a mutual recognition agreement with the UK</w:t>
      </w:r>
      <w:r w:rsidR="0020122F" w:rsidRPr="0020122F">
        <w:t xml:space="preserve">. </w:t>
      </w:r>
    </w:p>
    <w:p w14:paraId="34F7FA7B" w14:textId="2FC7BC97" w:rsidR="0020122F" w:rsidRDefault="008E1793" w:rsidP="00A81C1D">
      <w:r w:rsidRPr="001959DD">
        <w:rPr>
          <w:b/>
          <w:bCs/>
        </w:rPr>
        <w:t>Regulation 8</w:t>
      </w:r>
      <w:r>
        <w:t xml:space="preserve"> amends Part VI of the 2002 Regulations on fees payable.</w:t>
      </w:r>
    </w:p>
    <w:p w14:paraId="1C9AB337" w14:textId="7BD4B828" w:rsidR="00394828" w:rsidRDefault="00394828" w:rsidP="00394828">
      <w:pPr>
        <w:pStyle w:val="ListParagraph"/>
        <w:numPr>
          <w:ilvl w:val="0"/>
          <w:numId w:val="4"/>
        </w:numPr>
      </w:pPr>
      <w:r>
        <w:t xml:space="preserve">Minor amendments </w:t>
      </w:r>
      <w:r w:rsidR="00813B05">
        <w:t>only</w:t>
      </w:r>
      <w:r w:rsidR="00FD1C26">
        <w:t xml:space="preserve"> </w:t>
      </w:r>
      <w:r w:rsidR="00FD1C26" w:rsidRPr="00FD1C26">
        <w:t>m</w:t>
      </w:r>
      <w:r w:rsidR="00813B05" w:rsidRPr="00FD1C26">
        <w:t>aintain</w:t>
      </w:r>
      <w:r w:rsidR="00FD1C26" w:rsidRPr="00FD1C26">
        <w:t>ing</w:t>
      </w:r>
      <w:r w:rsidR="00813B05" w:rsidRPr="00FD1C26">
        <w:t xml:space="preserve"> c</w:t>
      </w:r>
      <w:r w:rsidRPr="00FD1C26">
        <w:t>onsisten</w:t>
      </w:r>
      <w:r w:rsidR="00813B05" w:rsidRPr="00FD1C26">
        <w:t>cy</w:t>
      </w:r>
      <w:r w:rsidRPr="00FD1C26">
        <w:t xml:space="preserve"> </w:t>
      </w:r>
      <w:r w:rsidR="00813B05" w:rsidRPr="00FD1C26">
        <w:t>with</w:t>
      </w:r>
      <w:r w:rsidRPr="00FD1C26">
        <w:t xml:space="preserve"> </w:t>
      </w:r>
      <w:r w:rsidR="00813B05" w:rsidRPr="00FD1C26">
        <w:t xml:space="preserve">changes to </w:t>
      </w:r>
      <w:r w:rsidRPr="00FD1C26">
        <w:t xml:space="preserve">wording </w:t>
      </w:r>
      <w:r w:rsidR="00813B05" w:rsidRPr="00FD1C26">
        <w:t>made in the other amendments.</w:t>
      </w:r>
      <w:r w:rsidR="00813B05" w:rsidRPr="00FD1C26">
        <w:rPr>
          <w:i/>
          <w:iCs/>
        </w:rPr>
        <w:t xml:space="preserve"> For example, on mutual recognition agreements.</w:t>
      </w:r>
      <w:r>
        <w:t xml:space="preserve"> </w:t>
      </w:r>
    </w:p>
    <w:p w14:paraId="71A26938" w14:textId="77777777" w:rsidR="00813B05" w:rsidRDefault="00487B45" w:rsidP="00C2242E">
      <w:r w:rsidRPr="001959DD">
        <w:rPr>
          <w:b/>
          <w:bCs/>
        </w:rPr>
        <w:lastRenderedPageBreak/>
        <w:t>Regulation 9</w:t>
      </w:r>
      <w:r>
        <w:t xml:space="preserve"> amends Part VII of the 2002 Regulations on g</w:t>
      </w:r>
      <w:r w:rsidRPr="00487B45">
        <w:t xml:space="preserve">eneral, </w:t>
      </w:r>
      <w:r>
        <w:t>e</w:t>
      </w:r>
      <w:r w:rsidRPr="00487B45">
        <w:t xml:space="preserve">nforcement and </w:t>
      </w:r>
      <w:r>
        <w:t>m</w:t>
      </w:r>
      <w:r w:rsidRPr="00487B45">
        <w:t>iscellaneous</w:t>
      </w:r>
      <w:r>
        <w:t xml:space="preserve"> items.</w:t>
      </w:r>
    </w:p>
    <w:p w14:paraId="4D420477" w14:textId="77777777" w:rsidR="00595B6D" w:rsidRDefault="00813B05" w:rsidP="00813B05">
      <w:pPr>
        <w:pStyle w:val="ListParagraph"/>
        <w:numPr>
          <w:ilvl w:val="0"/>
          <w:numId w:val="4"/>
        </w:numPr>
      </w:pPr>
      <w:r>
        <w:t xml:space="preserve">Minor amendments maintaining consistency with changes to wording made in the other amendments. </w:t>
      </w:r>
      <w:r w:rsidRPr="00FD1C26">
        <w:rPr>
          <w:i/>
          <w:iCs/>
        </w:rPr>
        <w:t xml:space="preserve">For example, </w:t>
      </w:r>
      <w:r w:rsidR="00595B6D" w:rsidRPr="00FD1C26">
        <w:rPr>
          <w:i/>
          <w:iCs/>
        </w:rPr>
        <w:t>“</w:t>
      </w:r>
      <w:r w:rsidRPr="00FD1C26">
        <w:rPr>
          <w:i/>
          <w:iCs/>
        </w:rPr>
        <w:t>UK person responsible</w:t>
      </w:r>
      <w:r w:rsidR="00595B6D" w:rsidRPr="00FD1C26">
        <w:rPr>
          <w:i/>
          <w:iCs/>
        </w:rPr>
        <w:t>” in place of “Authorised representative”</w:t>
      </w:r>
      <w:r w:rsidRPr="00FD1C26">
        <w:rPr>
          <w:i/>
          <w:iCs/>
        </w:rPr>
        <w:t>.</w:t>
      </w:r>
    </w:p>
    <w:p w14:paraId="2A571063" w14:textId="74FF6E15" w:rsidR="00813B05" w:rsidRDefault="00595B6D" w:rsidP="00813B05">
      <w:pPr>
        <w:pStyle w:val="ListParagraph"/>
        <w:numPr>
          <w:ilvl w:val="0"/>
          <w:numId w:val="4"/>
        </w:numPr>
      </w:pPr>
      <w:r>
        <w:t>Adds “Schedule 2</w:t>
      </w:r>
      <w:r w:rsidRPr="00595B6D">
        <w:t xml:space="preserve"> Mutual Recognition Agreement countries</w:t>
      </w:r>
      <w:r>
        <w:t xml:space="preserve">” </w:t>
      </w:r>
      <w:r w:rsidR="00813B05">
        <w:t xml:space="preserve"> </w:t>
      </w:r>
    </w:p>
    <w:p w14:paraId="158C3466" w14:textId="1264208F" w:rsidR="00813B05" w:rsidRDefault="00595B6D" w:rsidP="00595B6D">
      <w:pPr>
        <w:pStyle w:val="ListParagraph"/>
        <w:numPr>
          <w:ilvl w:val="1"/>
          <w:numId w:val="4"/>
        </w:numPr>
      </w:pPr>
      <w:r>
        <w:t>Australia, New Zealand, Canada, The United States of America, The Swiss Confederation.</w:t>
      </w:r>
    </w:p>
    <w:p w14:paraId="4974EFC3" w14:textId="77777777" w:rsidR="00595B6D" w:rsidRDefault="00487B45" w:rsidP="00C2242E">
      <w:r w:rsidRPr="001959DD">
        <w:rPr>
          <w:b/>
          <w:bCs/>
        </w:rPr>
        <w:t>Regulation 10</w:t>
      </w:r>
      <w:r>
        <w:t xml:space="preserve"> amends and extends the original 2002 Regulations by introducing a new Part VIII, the medical device regulations. </w:t>
      </w:r>
    </w:p>
    <w:p w14:paraId="24DCECB2" w14:textId="3794041A" w:rsidR="00487B45" w:rsidRDefault="00487B45" w:rsidP="00EE587D">
      <w:pPr>
        <w:pStyle w:val="ListParagraph"/>
        <w:numPr>
          <w:ilvl w:val="0"/>
          <w:numId w:val="5"/>
        </w:numPr>
      </w:pPr>
      <w:r>
        <w:t xml:space="preserve">The new Part VIII introduces </w:t>
      </w:r>
      <w:r w:rsidR="00C44EC1">
        <w:t>68</w:t>
      </w:r>
      <w:r>
        <w:t xml:space="preserve"> new regulations</w:t>
      </w:r>
      <w:r w:rsidR="00C44EC1">
        <w:t xml:space="preserve"> (</w:t>
      </w:r>
      <w:r>
        <w:t>Nos 68 to 135</w:t>
      </w:r>
      <w:r w:rsidR="00C44EC1">
        <w:t>)</w:t>
      </w:r>
      <w:r w:rsidR="00FD1C26">
        <w:t xml:space="preserve">. </w:t>
      </w:r>
      <w:r w:rsidR="00EE587D" w:rsidRPr="00EE587D">
        <w:rPr>
          <w:i/>
          <w:iCs/>
        </w:rPr>
        <w:t>E</w:t>
      </w:r>
      <w:r w:rsidRPr="00EE587D">
        <w:rPr>
          <w:i/>
          <w:iCs/>
        </w:rPr>
        <w:t>ssentially equivalent to the EU MDR Articles 1 to 100</w:t>
      </w:r>
      <w:r w:rsidR="00C44EC1" w:rsidRPr="00EE587D">
        <w:rPr>
          <w:i/>
          <w:iCs/>
        </w:rPr>
        <w:t xml:space="preserve">, excluding Articles 3, 12, 24, 33, 34, 35-50, 54-58, 78, 79, 81, 91, 96, 99 100. </w:t>
      </w:r>
      <w:r w:rsidR="007656FB" w:rsidRPr="00EE587D">
        <w:rPr>
          <w:i/>
          <w:iCs/>
        </w:rPr>
        <w:t xml:space="preserve">i.e. </w:t>
      </w:r>
      <w:r w:rsidR="00FD1C26" w:rsidRPr="00EE587D">
        <w:rPr>
          <w:i/>
          <w:iCs/>
        </w:rPr>
        <w:t xml:space="preserve">excluded are </w:t>
      </w:r>
      <w:r w:rsidR="00C44EC1" w:rsidRPr="00EE587D">
        <w:rPr>
          <w:i/>
          <w:iCs/>
        </w:rPr>
        <w:t xml:space="preserve">the Articles on Notified Bodies and </w:t>
      </w:r>
      <w:r w:rsidR="007656FB" w:rsidRPr="00EE587D">
        <w:rPr>
          <w:i/>
          <w:iCs/>
        </w:rPr>
        <w:t>Article</w:t>
      </w:r>
      <w:r w:rsidR="00FD1C26" w:rsidRPr="00EE587D">
        <w:rPr>
          <w:i/>
          <w:iCs/>
        </w:rPr>
        <w:t>s</w:t>
      </w:r>
      <w:r w:rsidR="007656FB" w:rsidRPr="00EE587D">
        <w:rPr>
          <w:i/>
          <w:iCs/>
        </w:rPr>
        <w:t xml:space="preserve"> which describe collaboration with the EU Commission or between Member States</w:t>
      </w:r>
      <w:r w:rsidR="00FD1C26" w:rsidRPr="00EE587D">
        <w:rPr>
          <w:i/>
          <w:iCs/>
        </w:rPr>
        <w:t>.</w:t>
      </w:r>
      <w:r w:rsidR="007656FB" w:rsidRPr="00EE587D">
        <w:rPr>
          <w:i/>
          <w:iCs/>
        </w:rPr>
        <w:t xml:space="preserve"> </w:t>
      </w:r>
      <w:r w:rsidR="007656FB">
        <w:t xml:space="preserve"> </w:t>
      </w:r>
      <w:r w:rsidR="00C44EC1">
        <w:t xml:space="preserve"> </w:t>
      </w:r>
    </w:p>
    <w:p w14:paraId="35A4E5D3" w14:textId="77777777" w:rsidR="00C44EC1" w:rsidRDefault="00487B45" w:rsidP="00487B45">
      <w:r w:rsidRPr="001959DD">
        <w:rPr>
          <w:b/>
          <w:bCs/>
        </w:rPr>
        <w:t>Regulation 11</w:t>
      </w:r>
      <w:r>
        <w:t xml:space="preserve"> amends and extends the original 2002 Regulations by introducing a new Part </w:t>
      </w:r>
      <w:r w:rsidR="007C6BD0">
        <w:t>IX</w:t>
      </w:r>
      <w:r>
        <w:t xml:space="preserve">, the </w:t>
      </w:r>
      <w:r w:rsidR="007C6BD0">
        <w:t xml:space="preserve">in vitro </w:t>
      </w:r>
      <w:r>
        <w:t xml:space="preserve">medical device regulations. </w:t>
      </w:r>
    </w:p>
    <w:p w14:paraId="434B969B" w14:textId="0AD5E801" w:rsidR="00487B45" w:rsidRDefault="00487B45" w:rsidP="00A2692E">
      <w:pPr>
        <w:pStyle w:val="ListParagraph"/>
        <w:numPr>
          <w:ilvl w:val="0"/>
          <w:numId w:val="5"/>
        </w:numPr>
      </w:pPr>
      <w:r>
        <w:t xml:space="preserve">The new Part </w:t>
      </w:r>
      <w:r w:rsidR="007C6BD0">
        <w:t>IX</w:t>
      </w:r>
      <w:r>
        <w:t xml:space="preserve"> introduces </w:t>
      </w:r>
      <w:r w:rsidR="00C44EC1">
        <w:t>63</w:t>
      </w:r>
      <w:r>
        <w:t xml:space="preserve"> new regulations, Nos </w:t>
      </w:r>
      <w:r w:rsidR="007C6BD0">
        <w:t>136</w:t>
      </w:r>
      <w:r>
        <w:t xml:space="preserve"> to 1</w:t>
      </w:r>
      <w:r w:rsidR="007C6BD0">
        <w:t>98</w:t>
      </w:r>
      <w:r w:rsidR="00EE587D">
        <w:t xml:space="preserve">. </w:t>
      </w:r>
      <w:r>
        <w:t xml:space="preserve"> </w:t>
      </w:r>
      <w:r w:rsidR="00EE587D" w:rsidRPr="00EE587D">
        <w:rPr>
          <w:i/>
          <w:iCs/>
        </w:rPr>
        <w:t>E</w:t>
      </w:r>
      <w:r w:rsidRPr="00EE587D">
        <w:rPr>
          <w:i/>
          <w:iCs/>
        </w:rPr>
        <w:t xml:space="preserve">ssentially equivalent to the EU </w:t>
      </w:r>
      <w:r w:rsidR="007C6BD0" w:rsidRPr="00EE587D">
        <w:rPr>
          <w:i/>
          <w:iCs/>
        </w:rPr>
        <w:t>IV</w:t>
      </w:r>
      <w:r w:rsidRPr="00EE587D">
        <w:rPr>
          <w:i/>
          <w:iCs/>
        </w:rPr>
        <w:t xml:space="preserve">DR Articles 1 to </w:t>
      </w:r>
      <w:r w:rsidR="007C6BD0" w:rsidRPr="00EE587D">
        <w:rPr>
          <w:i/>
          <w:iCs/>
        </w:rPr>
        <w:t>116</w:t>
      </w:r>
      <w:r w:rsidRPr="00EE587D">
        <w:rPr>
          <w:i/>
          <w:iCs/>
        </w:rPr>
        <w:t xml:space="preserve">. </w:t>
      </w:r>
    </w:p>
    <w:p w14:paraId="72EF249D" w14:textId="1D7D9C7E" w:rsidR="00487B45" w:rsidRDefault="00BF2A12" w:rsidP="00C2242E">
      <w:r w:rsidRPr="001959DD">
        <w:rPr>
          <w:b/>
          <w:bCs/>
        </w:rPr>
        <w:t>Regulation 12</w:t>
      </w:r>
      <w:r>
        <w:t xml:space="preserve"> amends and extends the 2002 Regulations original two Schedules</w:t>
      </w:r>
      <w:r w:rsidR="009C28D8">
        <w:t xml:space="preserve">, </w:t>
      </w:r>
      <w:r>
        <w:t>add</w:t>
      </w:r>
      <w:r w:rsidR="009C28D8">
        <w:t>ing</w:t>
      </w:r>
      <w:r>
        <w:t xml:space="preserve"> another 26 </w:t>
      </w:r>
      <w:r w:rsidR="009C28D8">
        <w:t>S</w:t>
      </w:r>
      <w:r>
        <w:t>chedules</w:t>
      </w:r>
      <w:r w:rsidR="009C28D8">
        <w:t xml:space="preserve"> as follows:</w:t>
      </w:r>
    </w:p>
    <w:p w14:paraId="4C29CF39" w14:textId="421F65A3" w:rsidR="00C2242E" w:rsidRDefault="009C28D8" w:rsidP="00C2242E">
      <w:pPr>
        <w:pStyle w:val="ListParagraph"/>
        <w:numPr>
          <w:ilvl w:val="0"/>
          <w:numId w:val="1"/>
        </w:numPr>
      </w:pPr>
      <w:r>
        <w:t>Schedule 2A</w:t>
      </w:r>
      <w:r w:rsidR="00B44BD1">
        <w:t xml:space="preserve"> modifies the existing Annexes of the AIMDD, MDD and IVDD</w:t>
      </w:r>
    </w:p>
    <w:p w14:paraId="2E999911" w14:textId="28E752C2" w:rsidR="009C28D8" w:rsidRDefault="009C28D8" w:rsidP="00C2242E">
      <w:pPr>
        <w:pStyle w:val="ListParagraph"/>
        <w:numPr>
          <w:ilvl w:val="0"/>
          <w:numId w:val="1"/>
        </w:numPr>
      </w:pPr>
      <w:r>
        <w:t>Schedules 3 to 16</w:t>
      </w:r>
      <w:r w:rsidR="00FD1C26">
        <w:t>.</w:t>
      </w:r>
      <w:r>
        <w:t xml:space="preserve"> </w:t>
      </w:r>
      <w:r w:rsidR="00FD1C26">
        <w:rPr>
          <w:i/>
          <w:iCs/>
        </w:rPr>
        <w:t>E</w:t>
      </w:r>
      <w:r w:rsidRPr="00FD1C26">
        <w:rPr>
          <w:i/>
          <w:iCs/>
        </w:rPr>
        <w:t xml:space="preserve">ssentially equivalent to </w:t>
      </w:r>
      <w:r w:rsidR="003D6640" w:rsidRPr="00FD1C26">
        <w:rPr>
          <w:i/>
          <w:iCs/>
        </w:rPr>
        <w:t xml:space="preserve">the EUMDR </w:t>
      </w:r>
      <w:r w:rsidRPr="00FD1C26">
        <w:rPr>
          <w:i/>
          <w:iCs/>
        </w:rPr>
        <w:t>Annexes I to VI, VII</w:t>
      </w:r>
      <w:r w:rsidR="003D6640" w:rsidRPr="00FD1C26">
        <w:rPr>
          <w:i/>
          <w:iCs/>
        </w:rPr>
        <w:t>I to</w:t>
      </w:r>
      <w:r w:rsidRPr="00FD1C26">
        <w:rPr>
          <w:i/>
          <w:iCs/>
        </w:rPr>
        <w:t xml:space="preserve"> </w:t>
      </w:r>
      <w:r w:rsidR="003D6640" w:rsidRPr="00FD1C26">
        <w:rPr>
          <w:i/>
          <w:iCs/>
        </w:rPr>
        <w:t>XI, XIII to XVI – what are not adopted are the two Annexes on Notified Bodies and their certificates and the Correlation table</w:t>
      </w:r>
      <w:r w:rsidR="00FD1C26">
        <w:rPr>
          <w:i/>
          <w:iCs/>
        </w:rPr>
        <w:t>.</w:t>
      </w:r>
    </w:p>
    <w:p w14:paraId="5B55CF6E" w14:textId="63C1FF3C" w:rsidR="00BE2742" w:rsidRPr="00A2692E" w:rsidRDefault="003D6640" w:rsidP="00E60B3A">
      <w:pPr>
        <w:pStyle w:val="ListParagraph"/>
        <w:numPr>
          <w:ilvl w:val="0"/>
          <w:numId w:val="1"/>
        </w:numPr>
      </w:pPr>
      <w:r>
        <w:t>Schedules 17 to 28</w:t>
      </w:r>
      <w:r w:rsidR="00FD1C26">
        <w:t>.</w:t>
      </w:r>
      <w:r>
        <w:t xml:space="preserve"> </w:t>
      </w:r>
      <w:r w:rsidR="00FD1C26">
        <w:rPr>
          <w:i/>
          <w:iCs/>
        </w:rPr>
        <w:t>E</w:t>
      </w:r>
      <w:r w:rsidRPr="00FD1C26">
        <w:rPr>
          <w:i/>
          <w:iCs/>
        </w:rPr>
        <w:t>ssentially equivalent to the EUIVDR Annexes I to VI, VIII to XI, XIII to XIV – again, what are not adopted are the two Annexes on Notified Bodies and their certificates and the Correlation table</w:t>
      </w:r>
      <w:r w:rsidR="00FD1C26">
        <w:rPr>
          <w:i/>
          <w:iCs/>
        </w:rPr>
        <w:t>.</w:t>
      </w:r>
    </w:p>
    <w:p w14:paraId="246990BE" w14:textId="00E28ABD" w:rsidR="00A2692E" w:rsidRPr="00A2692E" w:rsidRDefault="00A2692E" w:rsidP="00A2692E"/>
    <w:p w14:paraId="0DF1339A" w14:textId="79556499" w:rsidR="00A2692E" w:rsidRPr="00A2692E" w:rsidRDefault="00A2692E" w:rsidP="00A2692E"/>
    <w:p w14:paraId="5C013C20" w14:textId="366C877E" w:rsidR="00A2692E" w:rsidRPr="00A2692E" w:rsidRDefault="00A2692E" w:rsidP="00A2692E"/>
    <w:p w14:paraId="7C96CDE1" w14:textId="40651A2A" w:rsidR="00A2692E" w:rsidRPr="00A2692E" w:rsidRDefault="00A2692E" w:rsidP="00A2692E"/>
    <w:p w14:paraId="01A9869E" w14:textId="5F9E0834" w:rsidR="00A2692E" w:rsidRPr="00A2692E" w:rsidRDefault="00A2692E" w:rsidP="00A2692E"/>
    <w:p w14:paraId="4CADA48F" w14:textId="3C8ED5F2" w:rsidR="00A2692E" w:rsidRPr="00A2692E" w:rsidRDefault="00A2692E" w:rsidP="00A2692E"/>
    <w:p w14:paraId="4EB27024" w14:textId="2E84FD01" w:rsidR="00A2692E" w:rsidRPr="00A2692E" w:rsidRDefault="00A2692E" w:rsidP="00A2692E"/>
    <w:p w14:paraId="3EEAE6BB" w14:textId="54A265D4" w:rsidR="00A2692E" w:rsidRPr="00A2692E" w:rsidRDefault="00A2692E" w:rsidP="00A2692E"/>
    <w:p w14:paraId="7529644F" w14:textId="4FFA12ED" w:rsidR="00A2692E" w:rsidRPr="00A2692E" w:rsidRDefault="00A2692E" w:rsidP="00A2692E"/>
    <w:p w14:paraId="47B4DB0D" w14:textId="00444A1C" w:rsidR="00A2692E" w:rsidRDefault="00A2692E" w:rsidP="00A2692E">
      <w:pPr>
        <w:rPr>
          <w:i/>
          <w:iCs/>
        </w:rPr>
      </w:pPr>
    </w:p>
    <w:p w14:paraId="56DBB31E" w14:textId="4573606A" w:rsidR="00A2692E" w:rsidRPr="00A2692E" w:rsidRDefault="00A2692E" w:rsidP="00A2692E">
      <w:pPr>
        <w:tabs>
          <w:tab w:val="left" w:pos="2210"/>
        </w:tabs>
      </w:pPr>
      <w:r>
        <w:tab/>
      </w:r>
    </w:p>
    <w:sectPr w:rsidR="00A2692E" w:rsidRPr="00A2692E" w:rsidSect="00A2692E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EFCB5" w14:textId="77777777" w:rsidR="00A2692E" w:rsidRDefault="00A2692E" w:rsidP="00A2692E">
      <w:pPr>
        <w:spacing w:after="0" w:line="240" w:lineRule="auto"/>
      </w:pPr>
      <w:r>
        <w:separator/>
      </w:r>
    </w:p>
  </w:endnote>
  <w:endnote w:type="continuationSeparator" w:id="0">
    <w:p w14:paraId="3A4CA879" w14:textId="77777777" w:rsidR="00A2692E" w:rsidRDefault="00A2692E" w:rsidP="00A2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TimesNew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AB1BA" w14:textId="479BDDD3" w:rsidR="00A2692E" w:rsidRPr="00FF0C70" w:rsidRDefault="00A2692E">
    <w:pPr>
      <w:pStyle w:val="Footer"/>
      <w:rPr>
        <w:i/>
        <w:iCs/>
      </w:rPr>
    </w:pPr>
    <w:r w:rsidRPr="00FF0C70">
      <w:rPr>
        <w:i/>
        <w:iCs/>
      </w:rPr>
      <w:t xml:space="preserve">Version June2020 - </w:t>
    </w:r>
    <w:r w:rsidRPr="00FF0C70">
      <w:rPr>
        <w:i/>
        <w:iCs/>
      </w:rPr>
      <w:t>K. Painter</w:t>
    </w:r>
    <w:r w:rsidRPr="00FF0C70"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A353C" w14:textId="77777777" w:rsidR="00A2692E" w:rsidRDefault="00A2692E" w:rsidP="00A2692E">
      <w:pPr>
        <w:spacing w:after="0" w:line="240" w:lineRule="auto"/>
      </w:pPr>
      <w:r>
        <w:separator/>
      </w:r>
    </w:p>
  </w:footnote>
  <w:footnote w:type="continuationSeparator" w:id="0">
    <w:p w14:paraId="29801959" w14:textId="77777777" w:rsidR="00A2692E" w:rsidRDefault="00A2692E" w:rsidP="00A26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B69D0"/>
    <w:multiLevelType w:val="hybridMultilevel"/>
    <w:tmpl w:val="391A247A"/>
    <w:lvl w:ilvl="0" w:tplc="12D4C774">
      <w:start w:val="12"/>
      <w:numFmt w:val="bullet"/>
      <w:lvlText w:val="-"/>
      <w:lvlJc w:val="left"/>
      <w:pPr>
        <w:ind w:left="720" w:hanging="360"/>
      </w:pPr>
      <w:rPr>
        <w:rFonts w:ascii="MTimesNewRoman" w:eastAsiaTheme="minorHAnsi" w:hAnsi="MTimesNewRoman" w:cs="MTimesNew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32C68"/>
    <w:multiLevelType w:val="hybridMultilevel"/>
    <w:tmpl w:val="9982AD16"/>
    <w:lvl w:ilvl="0" w:tplc="F85451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B02A0F"/>
    <w:multiLevelType w:val="hybridMultilevel"/>
    <w:tmpl w:val="7084DC62"/>
    <w:lvl w:ilvl="0" w:tplc="F8545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00FCF"/>
    <w:multiLevelType w:val="hybridMultilevel"/>
    <w:tmpl w:val="183C0250"/>
    <w:lvl w:ilvl="0" w:tplc="F8545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94955"/>
    <w:multiLevelType w:val="hybridMultilevel"/>
    <w:tmpl w:val="ABAA1E16"/>
    <w:lvl w:ilvl="0" w:tplc="12D4C774">
      <w:start w:val="12"/>
      <w:numFmt w:val="bullet"/>
      <w:lvlText w:val="-"/>
      <w:lvlJc w:val="left"/>
      <w:pPr>
        <w:ind w:left="1080" w:hanging="360"/>
      </w:pPr>
      <w:rPr>
        <w:rFonts w:ascii="MTimesNewRoman" w:eastAsiaTheme="minorHAnsi" w:hAnsi="MTimesNewRoman" w:cs="MTimesNew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7D06B9"/>
    <w:multiLevelType w:val="hybridMultilevel"/>
    <w:tmpl w:val="18782A16"/>
    <w:lvl w:ilvl="0" w:tplc="12D4C774">
      <w:start w:val="12"/>
      <w:numFmt w:val="bullet"/>
      <w:lvlText w:val="-"/>
      <w:lvlJc w:val="left"/>
      <w:pPr>
        <w:ind w:left="1080" w:hanging="360"/>
      </w:pPr>
      <w:rPr>
        <w:rFonts w:ascii="MTimesNewRoman" w:eastAsiaTheme="minorHAnsi" w:hAnsi="MTimesNewRoman" w:cs="MTimesNew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18"/>
    <w:rsid w:val="000227EC"/>
    <w:rsid w:val="00071FF3"/>
    <w:rsid w:val="00073EDF"/>
    <w:rsid w:val="000F1D7C"/>
    <w:rsid w:val="000F34B0"/>
    <w:rsid w:val="00170E4E"/>
    <w:rsid w:val="00185343"/>
    <w:rsid w:val="00193C4B"/>
    <w:rsid w:val="001959DD"/>
    <w:rsid w:val="001964E1"/>
    <w:rsid w:val="001B2AAE"/>
    <w:rsid w:val="0020122F"/>
    <w:rsid w:val="00260114"/>
    <w:rsid w:val="00281A5C"/>
    <w:rsid w:val="002C4EAF"/>
    <w:rsid w:val="002E44B0"/>
    <w:rsid w:val="002E7086"/>
    <w:rsid w:val="00335179"/>
    <w:rsid w:val="00394828"/>
    <w:rsid w:val="003C67A3"/>
    <w:rsid w:val="003D6640"/>
    <w:rsid w:val="004002FF"/>
    <w:rsid w:val="004061CB"/>
    <w:rsid w:val="0042467D"/>
    <w:rsid w:val="00436744"/>
    <w:rsid w:val="0044429B"/>
    <w:rsid w:val="00452658"/>
    <w:rsid w:val="00476D9F"/>
    <w:rsid w:val="0048258F"/>
    <w:rsid w:val="00487B45"/>
    <w:rsid w:val="005305A8"/>
    <w:rsid w:val="00547552"/>
    <w:rsid w:val="00595B6D"/>
    <w:rsid w:val="006259EF"/>
    <w:rsid w:val="00635C67"/>
    <w:rsid w:val="00663145"/>
    <w:rsid w:val="006A06B7"/>
    <w:rsid w:val="00705005"/>
    <w:rsid w:val="007656FB"/>
    <w:rsid w:val="0079052F"/>
    <w:rsid w:val="007C6BD0"/>
    <w:rsid w:val="00813B05"/>
    <w:rsid w:val="00821BCD"/>
    <w:rsid w:val="008742F7"/>
    <w:rsid w:val="0088129E"/>
    <w:rsid w:val="008A121C"/>
    <w:rsid w:val="008E1793"/>
    <w:rsid w:val="008E7313"/>
    <w:rsid w:val="00917371"/>
    <w:rsid w:val="00942133"/>
    <w:rsid w:val="0094251D"/>
    <w:rsid w:val="00990097"/>
    <w:rsid w:val="009A1818"/>
    <w:rsid w:val="009C28D8"/>
    <w:rsid w:val="00A2692E"/>
    <w:rsid w:val="00A61053"/>
    <w:rsid w:val="00A62BF3"/>
    <w:rsid w:val="00A65B01"/>
    <w:rsid w:val="00A81C1D"/>
    <w:rsid w:val="00AC355F"/>
    <w:rsid w:val="00AD4A4A"/>
    <w:rsid w:val="00B11D14"/>
    <w:rsid w:val="00B377DB"/>
    <w:rsid w:val="00B41945"/>
    <w:rsid w:val="00B44BD1"/>
    <w:rsid w:val="00B67322"/>
    <w:rsid w:val="00B923F6"/>
    <w:rsid w:val="00BE2742"/>
    <w:rsid w:val="00BE2AE0"/>
    <w:rsid w:val="00BF2A12"/>
    <w:rsid w:val="00C17E12"/>
    <w:rsid w:val="00C2242E"/>
    <w:rsid w:val="00C44EC1"/>
    <w:rsid w:val="00CE621F"/>
    <w:rsid w:val="00D20222"/>
    <w:rsid w:val="00D277D1"/>
    <w:rsid w:val="00D575EF"/>
    <w:rsid w:val="00D64EED"/>
    <w:rsid w:val="00E60B3A"/>
    <w:rsid w:val="00E809B4"/>
    <w:rsid w:val="00E91EA5"/>
    <w:rsid w:val="00EE587D"/>
    <w:rsid w:val="00F041FD"/>
    <w:rsid w:val="00F052DA"/>
    <w:rsid w:val="00F1365C"/>
    <w:rsid w:val="00F5481B"/>
    <w:rsid w:val="00FB6FEB"/>
    <w:rsid w:val="00FD1C26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5B9C"/>
  <w15:chartTrackingRefBased/>
  <w15:docId w15:val="{C0C182A5-48F2-4E93-A72D-D0F796BB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B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B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ED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92E"/>
  </w:style>
  <w:style w:type="paragraph" w:styleId="Footer">
    <w:name w:val="footer"/>
    <w:basedOn w:val="Normal"/>
    <w:link w:val="FooterChar"/>
    <w:uiPriority w:val="99"/>
    <w:unhideWhenUsed/>
    <w:rsid w:val="00A26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si/2019/791/contents/m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 Painter</dc:creator>
  <cp:keywords/>
  <dc:description/>
  <cp:lastModifiedBy>Kevin H Painter</cp:lastModifiedBy>
  <cp:revision>13</cp:revision>
  <dcterms:created xsi:type="dcterms:W3CDTF">2020-06-22T14:51:00Z</dcterms:created>
  <dcterms:modified xsi:type="dcterms:W3CDTF">2020-06-23T10:29:00Z</dcterms:modified>
</cp:coreProperties>
</file>